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proofErr w:type="gramStart"/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>quest  to</w:t>
      </w:r>
      <w:proofErr w:type="gramEnd"/>
      <w:r w:rsidR="00AE57B7" w:rsidRPr="007F1D81">
        <w:rPr>
          <w:color w:val="auto"/>
          <w:sz w:val="22"/>
          <w:szCs w:val="22"/>
        </w:rPr>
        <w:t xml:space="preserve"> amend </w:t>
      </w:r>
      <w:r w:rsidR="00F92E7F" w:rsidRPr="007F1D81">
        <w:rPr>
          <w:color w:val="auto"/>
          <w:sz w:val="22"/>
          <w:szCs w:val="22"/>
        </w:rPr>
        <w:t>consulting fees</w:t>
      </w:r>
    </w:p>
    <w:p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201</w:t>
      </w:r>
      <w:r w:rsidR="00E97989">
        <w:rPr>
          <w:rFonts w:ascii="Arial" w:hAnsi="Arial" w:cs="Arial"/>
          <w:b/>
          <w:color w:val="0070C0"/>
          <w:sz w:val="24"/>
          <w:szCs w:val="24"/>
          <w:lang w:val="en-US"/>
        </w:rPr>
        <w:t>9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201</w:t>
      </w:r>
      <w:r w:rsidR="00E97989">
        <w:rPr>
          <w:rFonts w:ascii="Arial" w:hAnsi="Arial" w:cs="Arial"/>
          <w:sz w:val="20"/>
          <w:szCs w:val="20"/>
        </w:rPr>
        <w:t>9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10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CC3BC1">
        <w:rPr>
          <w:rStyle w:val="Hyperlink"/>
          <w:rFonts w:ascii="Arial" w:hAnsi="Arial" w:cs="Arial"/>
          <w:u w:val="none"/>
        </w:rPr>
        <w:t xml:space="preserve"> 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>before 30 November 201</w:t>
      </w:r>
      <w:r w:rsidR="00E97989">
        <w:rPr>
          <w:rStyle w:val="Hyperlink"/>
          <w:rFonts w:ascii="Arial" w:hAnsi="Arial" w:cs="Arial"/>
          <w:color w:val="auto"/>
          <w:u w:val="none"/>
        </w:rPr>
        <w:t>8</w:t>
      </w:r>
    </w:p>
    <w:p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>document duly 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ed.</w:t>
      </w:r>
    </w:p>
    <w:p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 xml:space="preserve">ed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1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>not later than 31 December 201</w:t>
      </w:r>
      <w:r w:rsidR="00E9798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201</w:t>
      </w:r>
      <w:r w:rsidR="00E9798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>Any request for change in consulting fees received after 31 December 201</w:t>
      </w:r>
      <w:r w:rsidR="00E97989">
        <w:rPr>
          <w:rFonts w:ascii="Arial" w:hAnsi="Arial" w:cs="Arial"/>
          <w:sz w:val="20"/>
          <w:szCs w:val="20"/>
        </w:rPr>
        <w:t>8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:rsidTr="00EC19AF">
        <w:trPr>
          <w:cantSplit/>
          <w:trHeight w:val="1542"/>
        </w:trPr>
        <w:tc>
          <w:tcPr>
            <w:tcW w:w="9924" w:type="dxa"/>
          </w:tcPr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52E24">
              <w:rPr>
                <w:rFonts w:cs="Arial"/>
                <w:sz w:val="24"/>
                <w:szCs w:val="24"/>
              </w:rPr>
            </w:r>
            <w:r w:rsidR="00A52E24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52E24">
              <w:rPr>
                <w:rFonts w:cs="Arial"/>
                <w:sz w:val="24"/>
                <w:szCs w:val="24"/>
              </w:rPr>
            </w:r>
            <w:r w:rsidR="00A52E24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:rsidR="00F01143" w:rsidRPr="00054ECE" w:rsidRDefault="00F01143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  <w:lang w:val="en-ZA"/>
              </w:rPr>
              <w:t xml:space="preserve">Annualised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:rsidR="00B21464" w:rsidRDefault="00B21464" w:rsidP="00F01143">
      <w:pPr>
        <w:rPr>
          <w:rFonts w:cs="Arial"/>
        </w:rPr>
      </w:pPr>
    </w:p>
    <w:p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:rsidTr="00EC19AF">
        <w:trPr>
          <w:cantSplit/>
        </w:trPr>
        <w:tc>
          <w:tcPr>
            <w:tcW w:w="9924" w:type="dxa"/>
            <w:vAlign w:val="bottom"/>
          </w:tcPr>
          <w:p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4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:rsidTr="00EC19AF">
        <w:trPr>
          <w:cantSplit/>
        </w:trPr>
        <w:tc>
          <w:tcPr>
            <w:tcW w:w="9924" w:type="dxa"/>
            <w:vAlign w:val="bottom"/>
          </w:tcPr>
          <w:p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A0B0C" w:rsidRPr="005B7926" w:rsidTr="00EC19AF">
        <w:trPr>
          <w:cantSplit/>
        </w:trPr>
        <w:tc>
          <w:tcPr>
            <w:tcW w:w="9924" w:type="dxa"/>
            <w:vAlign w:val="bottom"/>
          </w:tcPr>
          <w:p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B21464">
      <w:footerReference w:type="default" r:id="rId12"/>
      <w:footerReference w:type="first" r:id="rId13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E5" w:rsidRDefault="000267E5">
      <w:r>
        <w:separator/>
      </w:r>
    </w:p>
  </w:endnote>
  <w:endnote w:type="continuationSeparator" w:id="0">
    <w:p w:rsidR="000267E5" w:rsidRDefault="000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B21464">
      <w:rPr>
        <w:rFonts w:ascii="Arial" w:hAnsi="Arial" w:cs="Arial"/>
      </w:rPr>
      <w:t>Novemb</w:t>
    </w:r>
    <w:r w:rsidR="00987F79">
      <w:rPr>
        <w:rFonts w:ascii="Arial" w:hAnsi="Arial" w:cs="Arial"/>
      </w:rPr>
      <w:t>er 201</w:t>
    </w:r>
    <w:r w:rsidR="00E97989">
      <w:rPr>
        <w:rFonts w:ascii="Arial" w:hAnsi="Arial" w:cs="Arial"/>
      </w:rPr>
      <w:t>8</w:t>
    </w:r>
    <w:r w:rsidR="00171C28">
      <w:rPr>
        <w:rFonts w:ascii="Arial" w:hAnsi="Arial" w:cs="Arial"/>
      </w:rPr>
      <w:t xml:space="preserve">                                       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E5" w:rsidRDefault="000267E5">
      <w:r>
        <w:separator/>
      </w:r>
    </w:p>
  </w:footnote>
  <w:footnote w:type="continuationSeparator" w:id="0">
    <w:p w:rsidR="000267E5" w:rsidRDefault="000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cujHw/TzDMuA17R9118086jRdo=" w:salt="tIPGc+4OB0jiwFXi0PUXQ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D0F11"/>
    <w:rsid w:val="002D5F7A"/>
    <w:rsid w:val="002E005B"/>
    <w:rsid w:val="002E502A"/>
    <w:rsid w:val="002E6FCC"/>
    <w:rsid w:val="002E7459"/>
    <w:rsid w:val="002F1E45"/>
    <w:rsid w:val="0030030D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4DDF"/>
    <w:rsid w:val="008B5E54"/>
    <w:rsid w:val="008B7C9C"/>
    <w:rsid w:val="008C07C7"/>
    <w:rsid w:val="008C303A"/>
    <w:rsid w:val="008C70C4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52E24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2DD0"/>
    <w:rsid w:val="00FD3EAD"/>
    <w:rsid w:val="00FD414D"/>
    <w:rsid w:val="00FD4151"/>
    <w:rsid w:val="00FE2435"/>
    <w:rsid w:val="00FE34CB"/>
    <w:rsid w:val="00FE58E9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48f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F_annual_revision@sanlam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F_annual_revision@sanlam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086A-1E3E-44C1-9849-67903E96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2169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Yolanda Smit (SEB)</cp:lastModifiedBy>
  <cp:revision>6</cp:revision>
  <cp:lastPrinted>2014-10-14T14:05:00Z</cp:lastPrinted>
  <dcterms:created xsi:type="dcterms:W3CDTF">2018-10-30T12:31:00Z</dcterms:created>
  <dcterms:modified xsi:type="dcterms:W3CDTF">2018-11-02T10:20:00Z</dcterms:modified>
</cp:coreProperties>
</file>